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31C79" w14:textId="77777777" w:rsidR="00E77220" w:rsidRPr="00E77220" w:rsidRDefault="00E77220" w:rsidP="00E77220">
      <w:pPr>
        <w:ind w:firstLine="720"/>
        <w:jc w:val="right"/>
        <w:rPr>
          <w:rFonts w:ascii="Arial" w:hAnsi="Arial" w:cs="Arial"/>
          <w:i/>
          <w:iCs/>
          <w:noProof/>
          <w:sz w:val="20"/>
          <w:szCs w:val="20"/>
          <w:lang w:val="mn-MN"/>
        </w:rPr>
      </w:pPr>
      <w:r w:rsidRPr="00E77220">
        <w:rPr>
          <w:rFonts w:ascii="Arial" w:hAnsi="Arial" w:cs="Arial"/>
          <w:i/>
          <w:iCs/>
          <w:noProof/>
          <w:sz w:val="20"/>
          <w:szCs w:val="20"/>
          <w:lang w:val="mn-MN"/>
        </w:rPr>
        <w:t xml:space="preserve">Хавсралт 3 </w:t>
      </w:r>
    </w:p>
    <w:p w14:paraId="30B25CEC" w14:textId="77777777" w:rsidR="00E77220" w:rsidRPr="00E77220" w:rsidRDefault="00E77220" w:rsidP="00E77220">
      <w:pPr>
        <w:spacing w:line="302" w:lineRule="auto"/>
        <w:rPr>
          <w:rFonts w:ascii="Arial" w:eastAsia="Arial" w:hAnsi="Arial"/>
          <w:lang w:val="mn-MN"/>
        </w:rPr>
      </w:pPr>
      <w:r w:rsidRPr="00E77220">
        <w:rPr>
          <w:rFonts w:ascii="Arial" w:eastAsia="Arial" w:hAnsi="Arial"/>
          <w:lang w:val="mn-MN"/>
        </w:rPr>
        <w:t xml:space="preserve">Батлав:                   </w:t>
      </w: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t xml:space="preserve"> Батлав:         </w:t>
      </w:r>
    </w:p>
    <w:p w14:paraId="45A397BC" w14:textId="77777777" w:rsidR="00E77220" w:rsidRPr="00E77220" w:rsidRDefault="00E77220" w:rsidP="00E77220">
      <w:pPr>
        <w:spacing w:after="0" w:line="302" w:lineRule="auto"/>
        <w:rPr>
          <w:rFonts w:ascii="Arial" w:eastAsia="Arial" w:hAnsi="Arial"/>
          <w:lang w:val="mn-MN"/>
        </w:rPr>
      </w:pPr>
      <w:r w:rsidRPr="00E77220">
        <w:rPr>
          <w:rFonts w:ascii="Arial" w:eastAsia="Arial" w:hAnsi="Arial"/>
          <w:lang w:val="mn-MN"/>
        </w:rPr>
        <w:t>“Монголын хөрөнгийн бирж” ХК-ийн                      “...........................................” ХК-ийн</w:t>
      </w:r>
    </w:p>
    <w:p w14:paraId="3000E482" w14:textId="77777777" w:rsidR="00E77220" w:rsidRPr="00E77220" w:rsidRDefault="00E77220" w:rsidP="00E77220">
      <w:pPr>
        <w:spacing w:after="0" w:line="302" w:lineRule="auto"/>
        <w:rPr>
          <w:rFonts w:ascii="Arial" w:eastAsia="Arial" w:hAnsi="Arial"/>
          <w:lang w:val="mn-MN"/>
        </w:rPr>
      </w:pPr>
      <w:r w:rsidRPr="00E77220">
        <w:rPr>
          <w:rFonts w:ascii="Arial" w:eastAsia="Arial" w:hAnsi="Arial"/>
          <w:lang w:val="mn-MN"/>
        </w:rPr>
        <w:t xml:space="preserve"> Гүйцэтгэх захирлын үүргийг                                    Гүйцэтгэх захирал                        түр орлон гүйцэтгэгч</w:t>
      </w: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r>
    </w:p>
    <w:p w14:paraId="2D4B2792" w14:textId="77777777" w:rsidR="00E77220" w:rsidRPr="00E77220" w:rsidRDefault="00E77220" w:rsidP="00E77220">
      <w:pPr>
        <w:spacing w:after="0" w:line="302" w:lineRule="auto"/>
        <w:rPr>
          <w:rFonts w:ascii="Arial" w:eastAsia="Arial" w:hAnsi="Arial"/>
          <w:lang w:val="mn-MN"/>
        </w:rPr>
      </w:pPr>
      <w:r w:rsidRPr="00E77220">
        <w:rPr>
          <w:rFonts w:ascii="Arial" w:eastAsia="Arial" w:hAnsi="Arial"/>
          <w:lang w:val="mn-MN"/>
        </w:rPr>
        <w:t xml:space="preserve">/………………………………../                                      /………………………………../       </w:t>
      </w:r>
    </w:p>
    <w:p w14:paraId="3739C56F" w14:textId="77777777" w:rsidR="00E77220" w:rsidRPr="00E77220" w:rsidRDefault="00E77220" w:rsidP="00E77220">
      <w:pPr>
        <w:spacing w:after="0" w:line="0" w:lineRule="atLeast"/>
        <w:rPr>
          <w:rFonts w:ascii="Arial" w:eastAsia="Arial" w:hAnsi="Arial" w:cs="Arial"/>
          <w:i/>
          <w:lang w:val="mn-MN"/>
        </w:rPr>
      </w:pPr>
    </w:p>
    <w:p w14:paraId="6473B203" w14:textId="3E581269" w:rsidR="00E77220" w:rsidRPr="00E77220" w:rsidRDefault="00E77220" w:rsidP="00E77220">
      <w:pPr>
        <w:jc w:val="center"/>
        <w:rPr>
          <w:rFonts w:ascii="Arial" w:hAnsi="Arial" w:cs="Arial"/>
          <w:b/>
          <w:bCs/>
          <w:noProof/>
          <w:lang w:val="mn-MN"/>
        </w:rPr>
      </w:pPr>
      <w:r w:rsidRPr="00E77220">
        <w:rPr>
          <w:rFonts w:ascii="Arial" w:hAnsi="Arial" w:cs="Arial"/>
          <w:b/>
          <w:bCs/>
          <w:noProof/>
          <w:lang w:val="mn-MN"/>
        </w:rPr>
        <w:t>ХӨРӨНГӨӨР БАТАЛГААЖСАН ҮНЭТ ЦААСНЫ БҮРТГЭЛИЙН ГЭРЭЭ</w:t>
      </w:r>
    </w:p>
    <w:p w14:paraId="1645D933" w14:textId="77777777" w:rsidR="00E77220" w:rsidRDefault="00E77220" w:rsidP="00E77220">
      <w:pPr>
        <w:jc w:val="both"/>
        <w:rPr>
          <w:rFonts w:ascii="Arial" w:hAnsi="Arial" w:cs="Arial"/>
          <w:noProof/>
          <w:lang w:val="mn-MN"/>
        </w:rPr>
      </w:pPr>
    </w:p>
    <w:p w14:paraId="20863974" w14:textId="29559795"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Он сар өдөр </w:t>
      </w:r>
      <w:r>
        <w:rPr>
          <w:rFonts w:ascii="Arial" w:hAnsi="Arial" w:cs="Arial"/>
          <w:noProof/>
          <w:lang w:val="mn-MN"/>
        </w:rPr>
        <w:tab/>
      </w:r>
      <w:r>
        <w:rPr>
          <w:rFonts w:ascii="Arial" w:hAnsi="Arial" w:cs="Arial"/>
          <w:noProof/>
          <w:lang w:val="mn-MN"/>
        </w:rPr>
        <w:tab/>
      </w:r>
      <w:r>
        <w:rPr>
          <w:rFonts w:ascii="Arial" w:hAnsi="Arial" w:cs="Arial"/>
          <w:noProof/>
          <w:lang w:val="mn-MN"/>
        </w:rPr>
        <w:tab/>
        <w:t xml:space="preserve">            </w:t>
      </w:r>
      <w:r w:rsidRPr="00E77220">
        <w:rPr>
          <w:rFonts w:ascii="Arial" w:hAnsi="Arial" w:cs="Arial"/>
          <w:noProof/>
          <w:lang w:val="mn-MN"/>
        </w:rPr>
        <w:t>№</w:t>
      </w:r>
      <w:r>
        <w:rPr>
          <w:rFonts w:ascii="Arial" w:hAnsi="Arial" w:cs="Arial"/>
          <w:noProof/>
          <w:lang w:val="mn-MN"/>
        </w:rPr>
        <w:tab/>
      </w:r>
      <w:r>
        <w:rPr>
          <w:rFonts w:ascii="Arial" w:hAnsi="Arial" w:cs="Arial"/>
          <w:noProof/>
          <w:lang w:val="mn-MN"/>
        </w:rPr>
        <w:tab/>
      </w:r>
      <w:r>
        <w:rPr>
          <w:rFonts w:ascii="Arial" w:hAnsi="Arial" w:cs="Arial"/>
          <w:noProof/>
          <w:lang w:val="mn-MN"/>
        </w:rPr>
        <w:tab/>
        <w:t xml:space="preserve">              </w:t>
      </w:r>
      <w:r w:rsidRPr="00E77220">
        <w:rPr>
          <w:rFonts w:ascii="Arial" w:hAnsi="Arial" w:cs="Arial"/>
          <w:noProof/>
          <w:lang w:val="mn-MN"/>
        </w:rPr>
        <w:t xml:space="preserve"> Улаанбаатар хот </w:t>
      </w:r>
    </w:p>
    <w:p w14:paraId="7AB54206" w14:textId="77777777" w:rsidR="00E77220" w:rsidRDefault="00E77220" w:rsidP="00E77220">
      <w:pPr>
        <w:jc w:val="both"/>
        <w:rPr>
          <w:rFonts w:ascii="Arial" w:hAnsi="Arial" w:cs="Arial"/>
          <w:noProof/>
          <w:lang w:val="mn-MN"/>
        </w:rPr>
      </w:pPr>
    </w:p>
    <w:p w14:paraId="1614F0A6" w14:textId="53A4F76F" w:rsidR="00E77220" w:rsidRPr="00E77220" w:rsidRDefault="00E77220" w:rsidP="00823154">
      <w:pPr>
        <w:ind w:firstLine="720"/>
        <w:jc w:val="both"/>
        <w:rPr>
          <w:rFonts w:ascii="Arial" w:hAnsi="Arial" w:cs="Arial"/>
          <w:noProof/>
          <w:lang w:val="mn-MN"/>
        </w:rPr>
      </w:pPr>
      <w:r w:rsidRPr="00E77220">
        <w:rPr>
          <w:rFonts w:ascii="Arial" w:hAnsi="Arial" w:cs="Arial"/>
          <w:noProof/>
          <w:lang w:val="mn-MN"/>
        </w:rPr>
        <w:t>Нэг талаас: “Монголын хөрөнгийн бирж” ТӨХК /цаашид Бирж гэх/, түүнийг төлөөлж Хяналт, зохицуулалтын газрын захирал ............................ ,</w:t>
      </w:r>
    </w:p>
    <w:p w14:paraId="69406A6F" w14:textId="16B2E52E" w:rsidR="00E77220" w:rsidRPr="00E77220" w:rsidRDefault="00E77220" w:rsidP="00823154">
      <w:pPr>
        <w:ind w:firstLine="720"/>
        <w:jc w:val="both"/>
        <w:rPr>
          <w:rFonts w:ascii="Arial" w:hAnsi="Arial" w:cs="Arial"/>
          <w:noProof/>
          <w:lang w:val="mn-MN"/>
        </w:rPr>
      </w:pPr>
      <w:r w:rsidRPr="00E77220">
        <w:rPr>
          <w:rFonts w:ascii="Arial" w:hAnsi="Arial" w:cs="Arial"/>
          <w:noProof/>
          <w:lang w:val="mn-MN"/>
        </w:rPr>
        <w:t xml:space="preserve">Нөгөө талаас: “...............” ХХК /ХК/ /цаашид Үнэт цаас гаргагч гэх/, түүнийг төлөөлж .......................... нар, /хамтад нь Талууд гэх/ </w:t>
      </w:r>
    </w:p>
    <w:p w14:paraId="22A0C266" w14:textId="77777777" w:rsidR="00E77220" w:rsidRPr="00E77220" w:rsidRDefault="00E77220" w:rsidP="00823154">
      <w:pPr>
        <w:ind w:firstLine="720"/>
        <w:jc w:val="both"/>
        <w:rPr>
          <w:rFonts w:ascii="Arial" w:hAnsi="Arial" w:cs="Arial"/>
          <w:noProof/>
          <w:lang w:val="mn-MN"/>
        </w:rPr>
      </w:pPr>
      <w:r w:rsidRPr="00E77220">
        <w:rPr>
          <w:rFonts w:ascii="Arial" w:hAnsi="Arial" w:cs="Arial"/>
          <w:noProof/>
          <w:lang w:val="mn-MN"/>
        </w:rPr>
        <w:t xml:space="preserve">Үнэт цаасны зах зээлийн тухай хууль, Хөрөнгөөр баталгаажсан үнэт цаасны тухай хууль, түүнд нийцүүлэн гаргасан Санхүүгийн зохицуулах хорооны болон Монголын хөрөнгийн биржийн холбогдох дүрэм, журам, зааврын хүрээнд Үнэт цаас гаргагчийн хөрөнгөөр баталгаажсан үнэт цаасыг Биржид бүртгэх, арилжих, хяналт тавихтай холбоотой харилцааг зохицуулах зорилгоор дараах нөхцлийг харилцан тохиролцож, энэхүү гэрээг байгуулав. </w:t>
      </w:r>
    </w:p>
    <w:p w14:paraId="3B5C579A" w14:textId="26987ED4" w:rsidR="00E77220" w:rsidRPr="00E77220" w:rsidRDefault="00E77220" w:rsidP="00E77220">
      <w:pPr>
        <w:jc w:val="center"/>
        <w:rPr>
          <w:rFonts w:ascii="Arial" w:hAnsi="Arial" w:cs="Arial"/>
          <w:b/>
          <w:bCs/>
          <w:noProof/>
          <w:lang w:val="mn-MN"/>
        </w:rPr>
      </w:pPr>
      <w:r w:rsidRPr="00E77220">
        <w:rPr>
          <w:rFonts w:ascii="Arial" w:hAnsi="Arial" w:cs="Arial"/>
          <w:b/>
          <w:bCs/>
          <w:noProof/>
          <w:lang w:val="mn-MN"/>
        </w:rPr>
        <w:t>I. Ерөнхий зүйл</w:t>
      </w:r>
    </w:p>
    <w:p w14:paraId="7C218433"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1. Энэхүү гэрээгээр ................ ХК /ХХК/-иас гаргасан хөрөнгөөр баталгаажсан үнэт цаасыг Биржид бүртгэн авах, арилжих, шимтгэл хураамж төлөх, хяналт тавихтай холбогдон үүсэх харилцааг зохицуулна. </w:t>
      </w:r>
    </w:p>
    <w:p w14:paraId="302D0D7B"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2. Гэрээтэй холбогдон үүсч болох бусад харилцааг холбогдох хууль эрхзүйн актын дагуу зохицуулна. </w:t>
      </w:r>
    </w:p>
    <w:p w14:paraId="6203F069"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3. ................. ХБҮЦ-ыг биржийн үнэт цаасны бүртгэлээс хассанаар энэхүү гэрээ дуусгавар болно. </w:t>
      </w:r>
    </w:p>
    <w:p w14:paraId="24CB4EBD" w14:textId="43466082" w:rsidR="00E77220" w:rsidRPr="00E77220" w:rsidRDefault="00E77220" w:rsidP="00E77220">
      <w:pPr>
        <w:jc w:val="center"/>
        <w:rPr>
          <w:rFonts w:ascii="Arial" w:hAnsi="Arial" w:cs="Arial"/>
          <w:b/>
          <w:bCs/>
          <w:noProof/>
          <w:lang w:val="mn-MN"/>
        </w:rPr>
      </w:pPr>
      <w:r w:rsidRPr="00E77220">
        <w:rPr>
          <w:rFonts w:ascii="Arial" w:hAnsi="Arial" w:cs="Arial"/>
          <w:b/>
          <w:bCs/>
          <w:noProof/>
          <w:lang w:val="mn-MN"/>
        </w:rPr>
        <w:t>II. Биржийн эрх, үүрэг</w:t>
      </w:r>
    </w:p>
    <w:p w14:paraId="2B006E2B"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4. Бирж нь ............-ийн гаргасан ....... төгрөгийн нэрлэсэн үнэ бүхий ..... ширхэг ХБҮЦ-ыг үнэт цаасны бүртгэлд бүртгэж, арилжааг зохион байгуулах ажиллагааг зохих дүрэм, журмын дагуу хийж гүйцэтгэнэ. </w:t>
      </w:r>
    </w:p>
    <w:p w14:paraId="6FD2D6F5"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lastRenderedPageBreak/>
        <w:t xml:space="preserve">5. ХБҮЦ-ны арилжаатай холбоотой судалгаа болон зөвшөөрөгдсөн бусад мэдээллийг үнэт цаас гаргагчийн хүсэлтээр гаргаж өгнө. </w:t>
      </w:r>
    </w:p>
    <w:p w14:paraId="7A0498F3"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6. ХБҮЦ-ны талаарх дэлгэрэнгүй мэдээллээр сонирхогч этгээдийг хангана.</w:t>
      </w:r>
    </w:p>
    <w:p w14:paraId="44AC3461"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 7. Үнэт цаасыг үе шаттайгаар хэсэгчлэн гаргахыг зөвшөөрсөн тохиолдолд Биржид бүртгэгдсэн нийт ..... төгрөгийн ХБҮЦ-аас ...... төгрөгийн ХБҮЦ-ыг эхний ээлжинд арилжаалах зөвшөөрлийг олгох ба дараагийн ээлжийн ХБҮЦ-ны нэмэлт материал, санал болгон арилжаалах үнэ ханш тодорхой болсны дараа тухайн үе шатны ХБҮЦыг арилжаалах зөвшөөрлийг олгоно. </w:t>
      </w:r>
    </w:p>
    <w:p w14:paraId="60DFDE52"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8. Үнэт цаас гаргагчийн бүртгүүлсэн ХБҮЦ-ны нийт үнийн дүнгийн ... хувиар тооцон бүртгэх үйлчилгээний хөлс авна. </w:t>
      </w:r>
    </w:p>
    <w:p w14:paraId="295FFD6D"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9. Арилжсан ХБҮЦ-ны үнийн дүнгээс ..... хувиар тооцон арилжааны шимтгэл тооцож авна. </w:t>
      </w:r>
    </w:p>
    <w:p w14:paraId="649C4C18"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10. Бирж нь үнэт цаастай холбоотой шаардлагатай мэдээ, тайлан, бичиг баримтыг үнэт цаас гаргагчаас гаргуулан авах эрхтэй. Тайлан, мэдээний бүрдэл, хэлбэр, хэмжээнд тавигдах шаардлага, холбогдох маягтын загварыг Биржээс тогтоож болно. 11. Бирж нь Үнэт цаас гаргагчийн ХБҮЦ-ны төлбөрийн эргэн төлөлтөд хяналт тавьж, шаардлагатай тохиолдолд зохих арга хэмжээг авахуулахаар холбогдох эрх бүхий байгууллагад хандах эрхтэй.</w:t>
      </w:r>
    </w:p>
    <w:p w14:paraId="79F4DD6F" w14:textId="45C8D24F" w:rsidR="00E77220" w:rsidRPr="00E77220" w:rsidRDefault="00E77220" w:rsidP="00E77220">
      <w:pPr>
        <w:jc w:val="center"/>
        <w:rPr>
          <w:rFonts w:ascii="Arial" w:hAnsi="Arial" w:cs="Arial"/>
          <w:b/>
          <w:bCs/>
          <w:noProof/>
          <w:lang w:val="mn-MN"/>
        </w:rPr>
      </w:pPr>
      <w:r w:rsidRPr="00E77220">
        <w:rPr>
          <w:rFonts w:ascii="Arial" w:hAnsi="Arial" w:cs="Arial"/>
          <w:b/>
          <w:bCs/>
          <w:noProof/>
          <w:lang w:val="mn-MN"/>
        </w:rPr>
        <w:t>III. Үнэт цаас гаргагчийн эрх, үүрэг</w:t>
      </w:r>
    </w:p>
    <w:p w14:paraId="5B9F52E5"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12. Үнэт цаасны зах зээлийн тухай хууль, Хөрөнгөөр баталгаажсан үнэт цаасны тухай хууль, түүнд нийцүүлэн гаргасан холбогдох эрх зүйн актууд, Монголын хөрөнгийн биржийн дүрэм, журам, зааврыг дагаж мөрдөнө. </w:t>
      </w:r>
    </w:p>
    <w:p w14:paraId="3B02D0C2"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13. Үнэт цаас гаргагч нь арилжигдсан ХБҮЦ-ны үндсэн болон хүүгийн төлбөрийг хугацаанд нь бүрэн төлж барагдуулах ба үнэт цаасны төлбөр тооцоог саадгүй хийх нөхцлөөр хангагдсан байна. </w:t>
      </w:r>
    </w:p>
    <w:p w14:paraId="495DB567"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14. Шаардлагатай тохиолдолд төлбөрийн эргэн төлөлтийг сайжруулах арга хэмжээг яаралтай авч хэрэгжүүлнэ. </w:t>
      </w:r>
    </w:p>
    <w:p w14:paraId="7A92A137"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15. Бүртгэх үйлчилгээний хөлс, арилжааны шимтгэлийг энэ гэрээ болон ХБҮЦ-ны бүртгэлийн журамд заасны дагуу тогтоосон хугацаанд төлнө. </w:t>
      </w:r>
    </w:p>
    <w:p w14:paraId="35A0CFF6"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16. Шаардлагатай тайлан, мэдээлэл, бичиг баримтыг Биржээс тогтоосон хэлбэр, маягтын дагуу өөрөө, эсхүл үйлчилгээ үзүүлэгч этгээдээр дамжуулан Биржид цаг тухайд нь гаргаж ирүүлэх үүрэг хүлээнэ.</w:t>
      </w:r>
    </w:p>
    <w:p w14:paraId="2021FEEC"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 17. Тайлан, мэдээллийг цахим болон хэвлэмэл байдлаар ирүүлэх ба Биржид ирүүлсэн мэдээ мэдээллийн үнэн зөвийг бүрэн хариуцна. </w:t>
      </w:r>
    </w:p>
    <w:p w14:paraId="76A01DBF"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lastRenderedPageBreak/>
        <w:t xml:space="preserve">18. ХБҮЦ-ны арилжаа, хөлс хураамжтай холбоотой мэдээллийг Биржээс гаргуулан авах эрхтэй. </w:t>
      </w:r>
    </w:p>
    <w:p w14:paraId="22D97C28"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19. Үнэт цаасны зах зээлийн тухай хууль, Хөрөнгөөр баталгаажсан үнэт цаасны тухай хууль, түүнд нийцүүлэн гаргасан Санхүүгийн зохицуулах хорооны болон Биржийн холбогдох дүрэм, журам, заавар, мөн энэхүү гэрээгээр хүлээсэн үүргээ хэрэгжүүлээгүйгээс аливаа этгээдэд учирсан хохирлыг Үнэт цаас гаргагч, түүний холбогдох албан тушаалтан бүрэн хариуцна.</w:t>
      </w:r>
    </w:p>
    <w:p w14:paraId="2B3885E1" w14:textId="166FAFFE" w:rsidR="00E77220" w:rsidRPr="00E77220" w:rsidRDefault="00E77220" w:rsidP="00E77220">
      <w:pPr>
        <w:jc w:val="center"/>
        <w:rPr>
          <w:rFonts w:ascii="Arial" w:hAnsi="Arial" w:cs="Arial"/>
          <w:b/>
          <w:bCs/>
          <w:noProof/>
          <w:lang w:val="mn-MN"/>
        </w:rPr>
      </w:pPr>
      <w:r w:rsidRPr="00E77220">
        <w:rPr>
          <w:rFonts w:ascii="Arial" w:hAnsi="Arial" w:cs="Arial"/>
          <w:b/>
          <w:bCs/>
          <w:noProof/>
          <w:lang w:val="mn-MN"/>
        </w:rPr>
        <w:t>IV. Бусад</w:t>
      </w:r>
    </w:p>
    <w:p w14:paraId="470E717E"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20. Гэрээг 2 хувь үйлдэх бөгөөд хувиуд адил хүчинтэй. </w:t>
      </w:r>
    </w:p>
    <w:p w14:paraId="6E0302C6" w14:textId="77777777" w:rsidR="00E77220" w:rsidRPr="00E77220" w:rsidRDefault="00E77220" w:rsidP="00E77220">
      <w:pPr>
        <w:jc w:val="both"/>
        <w:rPr>
          <w:rFonts w:ascii="Arial" w:hAnsi="Arial" w:cs="Arial"/>
          <w:noProof/>
          <w:lang w:val="mn-MN"/>
        </w:rPr>
      </w:pPr>
      <w:r w:rsidRPr="00E77220">
        <w:rPr>
          <w:rFonts w:ascii="Arial" w:hAnsi="Arial" w:cs="Arial"/>
          <w:noProof/>
          <w:lang w:val="mn-MN"/>
        </w:rPr>
        <w:t xml:space="preserve">21. Талууд харилцан тохиролцож гэрээнд нэмэлт өөрчлөлт оруулж болно. </w:t>
      </w:r>
    </w:p>
    <w:p w14:paraId="6441CB7F" w14:textId="77777777" w:rsidR="00E77220" w:rsidRDefault="00E77220" w:rsidP="00E77220">
      <w:pPr>
        <w:jc w:val="both"/>
        <w:rPr>
          <w:rFonts w:ascii="Arial" w:hAnsi="Arial" w:cs="Arial"/>
          <w:noProof/>
          <w:lang w:val="mn-MN"/>
        </w:rPr>
      </w:pPr>
      <w:r w:rsidRPr="00E77220">
        <w:rPr>
          <w:rFonts w:ascii="Arial" w:hAnsi="Arial" w:cs="Arial"/>
          <w:noProof/>
          <w:lang w:val="mn-MN"/>
        </w:rPr>
        <w:t xml:space="preserve">22. Гэрээтэй холбогдон үүссэн аливаа маргаантай асуудлаар талууд зөвшилцөж эс чадвал шүүхээр шийдвэрлүүлнэ. </w:t>
      </w:r>
    </w:p>
    <w:p w14:paraId="2776A5EB" w14:textId="77777777" w:rsidR="00E77220" w:rsidRPr="00E77220" w:rsidRDefault="00E77220" w:rsidP="00E77220">
      <w:pPr>
        <w:spacing w:line="0" w:lineRule="atLeast"/>
        <w:ind w:right="-279"/>
        <w:jc w:val="center"/>
        <w:rPr>
          <w:rFonts w:ascii="Arial" w:eastAsia="Arial" w:hAnsi="Arial"/>
          <w:b/>
          <w:bCs/>
          <w:lang w:val="mn-MN"/>
        </w:rPr>
      </w:pPr>
      <w:r w:rsidRPr="00E77220">
        <w:rPr>
          <w:rFonts w:ascii="Arial" w:eastAsia="Arial" w:hAnsi="Arial"/>
          <w:b/>
          <w:bCs/>
          <w:lang w:val="mn-MN"/>
        </w:rPr>
        <w:t>ГЭРЭЭ БАЙГУУЛСАН:</w:t>
      </w:r>
    </w:p>
    <w:p w14:paraId="0DC80330" w14:textId="77777777" w:rsidR="00E77220" w:rsidRPr="00E77220" w:rsidRDefault="00E77220" w:rsidP="00E77220">
      <w:pPr>
        <w:spacing w:after="0" w:line="302" w:lineRule="auto"/>
        <w:rPr>
          <w:rFonts w:ascii="Arial" w:eastAsia="Arial" w:hAnsi="Arial"/>
          <w:lang w:val="mn-MN"/>
        </w:rPr>
      </w:pPr>
    </w:p>
    <w:p w14:paraId="4D2F019B" w14:textId="77777777" w:rsidR="00E77220" w:rsidRPr="00E77220" w:rsidRDefault="00E77220" w:rsidP="00E77220">
      <w:pPr>
        <w:spacing w:after="0" w:line="302" w:lineRule="auto"/>
        <w:rPr>
          <w:rFonts w:ascii="Arial" w:eastAsia="Arial" w:hAnsi="Arial"/>
          <w:lang w:val="mn-MN"/>
        </w:rPr>
      </w:pPr>
      <w:r w:rsidRPr="00E77220">
        <w:rPr>
          <w:rFonts w:ascii="Arial" w:eastAsia="Arial" w:hAnsi="Arial"/>
          <w:lang w:val="mn-MN"/>
        </w:rPr>
        <w:t>Биржийг төлөөлж:                                                         Үнэт цаас гаргагчийг төлөөлж:</w:t>
      </w:r>
    </w:p>
    <w:p w14:paraId="1F5D87DA" w14:textId="77777777" w:rsidR="00E77220" w:rsidRPr="00E77220" w:rsidRDefault="00E77220" w:rsidP="00E77220">
      <w:pPr>
        <w:spacing w:after="0" w:line="302" w:lineRule="auto"/>
        <w:rPr>
          <w:rFonts w:ascii="Arial" w:eastAsia="Arial" w:hAnsi="Arial"/>
          <w:lang w:val="mn-MN"/>
        </w:rPr>
      </w:pPr>
    </w:p>
    <w:p w14:paraId="6231894A" w14:textId="77777777" w:rsidR="00E77220" w:rsidRPr="00E77220" w:rsidRDefault="00E77220" w:rsidP="00E77220">
      <w:pPr>
        <w:spacing w:after="0" w:line="302" w:lineRule="auto"/>
        <w:rPr>
          <w:rFonts w:ascii="Arial" w:eastAsia="Arial" w:hAnsi="Arial"/>
          <w:lang w:val="mn-MN"/>
        </w:rPr>
      </w:pPr>
      <w:r w:rsidRPr="00E77220">
        <w:rPr>
          <w:rFonts w:ascii="Arial" w:eastAsia="Arial" w:hAnsi="Arial"/>
          <w:lang w:val="mn-MN"/>
        </w:rPr>
        <w:t xml:space="preserve">Хяналт зохицуулалтын газрын захирал                      “…………..….....……………” ХК </w:t>
      </w:r>
    </w:p>
    <w:p w14:paraId="216CC695" w14:textId="77777777" w:rsidR="00E77220" w:rsidRPr="00E77220" w:rsidRDefault="00E77220" w:rsidP="00E77220">
      <w:pPr>
        <w:spacing w:after="0" w:line="302" w:lineRule="auto"/>
        <w:rPr>
          <w:rFonts w:ascii="Arial" w:eastAsia="Arial" w:hAnsi="Arial"/>
          <w:lang w:val="mn-MN"/>
        </w:rPr>
      </w:pP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r>
      <w:r w:rsidRPr="00E77220">
        <w:rPr>
          <w:rFonts w:ascii="Arial" w:eastAsia="Arial" w:hAnsi="Arial"/>
          <w:lang w:val="mn-MN"/>
        </w:rPr>
        <w:tab/>
        <w:t xml:space="preserve"> -ийн ...........................................</w:t>
      </w:r>
    </w:p>
    <w:p w14:paraId="650B0EC7" w14:textId="77777777" w:rsidR="00E77220" w:rsidRPr="00B71A52" w:rsidRDefault="00E77220" w:rsidP="00E77220">
      <w:pPr>
        <w:spacing w:after="0" w:line="302" w:lineRule="auto"/>
        <w:rPr>
          <w:rFonts w:ascii="Arial" w:eastAsia="Arial" w:hAnsi="Arial"/>
        </w:rPr>
      </w:pPr>
      <w:r w:rsidRPr="00B71A52">
        <w:rPr>
          <w:rFonts w:ascii="Arial" w:eastAsia="Arial" w:hAnsi="Arial"/>
        </w:rPr>
        <w:t>/…………………………………/                                       /……</w:t>
      </w:r>
      <w:r>
        <w:rPr>
          <w:rFonts w:ascii="Arial" w:eastAsia="Arial" w:hAnsi="Arial"/>
        </w:rPr>
        <w:t>.........</w:t>
      </w:r>
      <w:r w:rsidRPr="00B71A52">
        <w:rPr>
          <w:rFonts w:ascii="Arial" w:eastAsia="Arial" w:hAnsi="Arial"/>
        </w:rPr>
        <w:t>………………………./</w:t>
      </w:r>
    </w:p>
    <w:p w14:paraId="7442E186" w14:textId="77777777" w:rsidR="00E77220" w:rsidRDefault="00E77220" w:rsidP="00E77220">
      <w:pPr>
        <w:spacing w:after="0" w:line="302" w:lineRule="auto"/>
        <w:ind w:firstLine="720"/>
        <w:rPr>
          <w:rFonts w:ascii="Arial" w:eastAsia="Arial" w:hAnsi="Arial"/>
        </w:rPr>
      </w:pPr>
    </w:p>
    <w:p w14:paraId="44D2CDD6" w14:textId="77777777" w:rsidR="00E77220" w:rsidRPr="006E000B" w:rsidRDefault="00E77220" w:rsidP="00E77220">
      <w:pPr>
        <w:spacing w:after="0" w:line="302" w:lineRule="auto"/>
        <w:ind w:firstLine="720"/>
        <w:rPr>
          <w:rFonts w:ascii="Arial" w:eastAsia="Arial" w:hAnsi="Arial"/>
        </w:rPr>
      </w:pPr>
      <w:r>
        <w:rPr>
          <w:rFonts w:ascii="Arial" w:eastAsia="Arial" w:hAnsi="Arial"/>
        </w:rPr>
        <w:t>А.Мөнхбаясгалан</w:t>
      </w:r>
    </w:p>
    <w:p w14:paraId="51FE6507" w14:textId="77777777" w:rsidR="00E77220" w:rsidRPr="00E77220" w:rsidRDefault="00E77220" w:rsidP="00E77220">
      <w:pPr>
        <w:jc w:val="both"/>
        <w:rPr>
          <w:rFonts w:ascii="Arial" w:hAnsi="Arial" w:cs="Arial"/>
          <w:noProof/>
          <w:lang w:val="mn-MN"/>
        </w:rPr>
      </w:pPr>
    </w:p>
    <w:sectPr w:rsidR="00E77220" w:rsidRPr="00E77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8C"/>
    <w:rsid w:val="00037091"/>
    <w:rsid w:val="00112C84"/>
    <w:rsid w:val="00306D46"/>
    <w:rsid w:val="003F5E8C"/>
    <w:rsid w:val="005F4FD7"/>
    <w:rsid w:val="00823154"/>
    <w:rsid w:val="00AC7EB9"/>
    <w:rsid w:val="00C227B6"/>
    <w:rsid w:val="00E7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D06C"/>
  <w15:chartTrackingRefBased/>
  <w15:docId w15:val="{EB823809-C76C-4D82-9CFF-90E8DA6F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E8C"/>
    <w:rPr>
      <w:rFonts w:eastAsiaTheme="majorEastAsia" w:cstheme="majorBidi"/>
      <w:color w:val="272727" w:themeColor="text1" w:themeTint="D8"/>
    </w:rPr>
  </w:style>
  <w:style w:type="paragraph" w:styleId="Title">
    <w:name w:val="Title"/>
    <w:basedOn w:val="Normal"/>
    <w:next w:val="Normal"/>
    <w:link w:val="TitleChar"/>
    <w:uiPriority w:val="10"/>
    <w:qFormat/>
    <w:rsid w:val="003F5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E8C"/>
    <w:pPr>
      <w:spacing w:before="160"/>
      <w:jc w:val="center"/>
    </w:pPr>
    <w:rPr>
      <w:i/>
      <w:iCs/>
      <w:color w:val="404040" w:themeColor="text1" w:themeTint="BF"/>
    </w:rPr>
  </w:style>
  <w:style w:type="character" w:customStyle="1" w:styleId="QuoteChar">
    <w:name w:val="Quote Char"/>
    <w:basedOn w:val="DefaultParagraphFont"/>
    <w:link w:val="Quote"/>
    <w:uiPriority w:val="29"/>
    <w:rsid w:val="003F5E8C"/>
    <w:rPr>
      <w:i/>
      <w:iCs/>
      <w:color w:val="404040" w:themeColor="text1" w:themeTint="BF"/>
    </w:rPr>
  </w:style>
  <w:style w:type="paragraph" w:styleId="ListParagraph">
    <w:name w:val="List Paragraph"/>
    <w:basedOn w:val="Normal"/>
    <w:uiPriority w:val="34"/>
    <w:qFormat/>
    <w:rsid w:val="003F5E8C"/>
    <w:pPr>
      <w:ind w:left="720"/>
      <w:contextualSpacing/>
    </w:pPr>
  </w:style>
  <w:style w:type="character" w:styleId="IntenseEmphasis">
    <w:name w:val="Intense Emphasis"/>
    <w:basedOn w:val="DefaultParagraphFont"/>
    <w:uiPriority w:val="21"/>
    <w:qFormat/>
    <w:rsid w:val="003F5E8C"/>
    <w:rPr>
      <w:i/>
      <w:iCs/>
      <w:color w:val="0F4761" w:themeColor="accent1" w:themeShade="BF"/>
    </w:rPr>
  </w:style>
  <w:style w:type="paragraph" w:styleId="IntenseQuote">
    <w:name w:val="Intense Quote"/>
    <w:basedOn w:val="Normal"/>
    <w:next w:val="Normal"/>
    <w:link w:val="IntenseQuoteChar"/>
    <w:uiPriority w:val="30"/>
    <w:qFormat/>
    <w:rsid w:val="003F5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E8C"/>
    <w:rPr>
      <w:i/>
      <w:iCs/>
      <w:color w:val="0F4761" w:themeColor="accent1" w:themeShade="BF"/>
    </w:rPr>
  </w:style>
  <w:style w:type="character" w:styleId="IntenseReference">
    <w:name w:val="Intense Reference"/>
    <w:basedOn w:val="DefaultParagraphFont"/>
    <w:uiPriority w:val="32"/>
    <w:qFormat/>
    <w:rsid w:val="003F5E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4277</Characters>
  <Application>Microsoft Office Word</Application>
  <DocSecurity>4</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Khuslen A</dc:creator>
  <cp:keywords/>
  <dc:description/>
  <cp:lastModifiedBy>Khuslen A</cp:lastModifiedBy>
  <cp:revision>2</cp:revision>
  <dcterms:created xsi:type="dcterms:W3CDTF">2024-09-11T02:02:00Z</dcterms:created>
  <dcterms:modified xsi:type="dcterms:W3CDTF">2024-09-11T02:02:00Z</dcterms:modified>
</cp:coreProperties>
</file>